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DF" w:rsidRDefault="002C51A8" w:rsidP="00C40101">
      <w:pPr>
        <w:pStyle w:val="Heading1"/>
        <w:numPr>
          <w:ilvl w:val="0"/>
          <w:numId w:val="0"/>
        </w:numPr>
        <w:pBdr>
          <w:bottom w:val="single" w:sz="12" w:space="1" w:color="auto"/>
        </w:pBdr>
        <w:jc w:val="center"/>
        <w:rPr>
          <w:sz w:val="28"/>
          <w:szCs w:val="28"/>
        </w:rPr>
      </w:pPr>
      <w:bookmarkStart w:id="0" w:name="_GoBack"/>
      <w:bookmarkEnd w:id="0"/>
      <w:r w:rsidRPr="00E76106">
        <w:rPr>
          <w:sz w:val="28"/>
          <w:szCs w:val="28"/>
        </w:rPr>
        <w:t xml:space="preserve">Summary </w:t>
      </w:r>
      <w:r w:rsidR="00FC60A7" w:rsidRPr="00E76106">
        <w:rPr>
          <w:sz w:val="28"/>
          <w:szCs w:val="28"/>
        </w:rPr>
        <w:t>table</w:t>
      </w:r>
      <w:r w:rsidRPr="00E76106">
        <w:rPr>
          <w:sz w:val="28"/>
          <w:szCs w:val="28"/>
        </w:rPr>
        <w:t xml:space="preserve"> on the cost-effectiveness of dldp contributions to supporting waste management in Albania</w:t>
      </w:r>
    </w:p>
    <w:p w:rsidR="002C51A8" w:rsidRPr="00FC60A7" w:rsidRDefault="002C51A8" w:rsidP="00E76106">
      <w:pPr>
        <w:spacing w:before="360"/>
        <w:rPr>
          <w:szCs w:val="21"/>
        </w:rPr>
      </w:pPr>
      <w:r w:rsidRPr="00FC60A7">
        <w:rPr>
          <w:szCs w:val="21"/>
        </w:rPr>
        <w:t xml:space="preserve">The following table provides an overview of the </w:t>
      </w:r>
      <w:r w:rsidRPr="00FC60A7">
        <w:rPr>
          <w:b/>
          <w:szCs w:val="21"/>
        </w:rPr>
        <w:t>costs of dldp contributions</w:t>
      </w:r>
      <w:r w:rsidRPr="00FC60A7">
        <w:rPr>
          <w:szCs w:val="21"/>
        </w:rPr>
        <w:t xml:space="preserve"> to achieve the </w:t>
      </w:r>
      <w:r w:rsidRPr="00FC60A7">
        <w:rPr>
          <w:b/>
          <w:szCs w:val="21"/>
        </w:rPr>
        <w:t>three main changes at partners’ level (outcomes)</w:t>
      </w:r>
      <w:r w:rsidRPr="00FC60A7">
        <w:rPr>
          <w:szCs w:val="21"/>
        </w:rPr>
        <w:t xml:space="preserve"> related to supporting waste management in Albania. The table is closely linked and complementary to the report “Supporting Improved LGU Waste Management Services: A Report on the Outcomes of dldp and Partners’ Contributions”, providing summarized data on the cost-effectiveness of dldp interventions.</w:t>
      </w:r>
    </w:p>
    <w:p w:rsidR="005E67DF" w:rsidRPr="00673C94" w:rsidRDefault="002C51A8" w:rsidP="00C40101">
      <w:pPr>
        <w:pStyle w:val="Heading2"/>
        <w:shd w:val="clear" w:color="auto" w:fill="FFFFFF" w:themeFill="background1"/>
        <w:spacing w:before="360"/>
        <w:ind w:left="426" w:hanging="431"/>
        <w:contextualSpacing/>
        <w:jc w:val="left"/>
      </w:pPr>
      <w:bookmarkStart w:id="1" w:name="_Toc209349670"/>
      <w:bookmarkStart w:id="2" w:name="_Toc209349879"/>
      <w:bookmarkStart w:id="3" w:name="_Toc209350055"/>
      <w:r>
        <w:t xml:space="preserve">Change 1: </w:t>
      </w:r>
      <w:r w:rsidR="005E67DF" w:rsidRPr="00673C94">
        <w:t>Waste management service delivery is improved in selected partner LGUs</w:t>
      </w:r>
      <w:bookmarkEnd w:id="1"/>
      <w:bookmarkEnd w:id="2"/>
      <w:bookmarkEnd w:id="3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677"/>
        <w:gridCol w:w="2127"/>
      </w:tblGrid>
      <w:tr w:rsidR="000B402D" w:rsidRPr="002B72DB" w:rsidTr="00C40101">
        <w:trPr>
          <w:trHeight w:val="467"/>
        </w:trPr>
        <w:tc>
          <w:tcPr>
            <w:tcW w:w="8472" w:type="dxa"/>
            <w:gridSpan w:val="3"/>
          </w:tcPr>
          <w:p w:rsidR="000B402D" w:rsidRPr="002B72DB" w:rsidRDefault="006E6205" w:rsidP="00C40101">
            <w:pPr>
              <w:shd w:val="clear" w:color="auto" w:fill="FFFFFF" w:themeFill="background1"/>
              <w:contextualSpacing/>
              <w:jc w:val="left"/>
              <w:rPr>
                <w:b/>
                <w:sz w:val="20"/>
                <w:szCs w:val="20"/>
              </w:rPr>
            </w:pPr>
            <w:r w:rsidRPr="002B72DB">
              <w:rPr>
                <w:b/>
              </w:rPr>
              <w:t>Reported change</w:t>
            </w:r>
          </w:p>
        </w:tc>
      </w:tr>
      <w:tr w:rsidR="000B402D" w:rsidRPr="004A6D8B" w:rsidTr="00C40101">
        <w:tc>
          <w:tcPr>
            <w:tcW w:w="8472" w:type="dxa"/>
            <w:gridSpan w:val="3"/>
          </w:tcPr>
          <w:p w:rsidR="000B402D" w:rsidRPr="004A6D8B" w:rsidRDefault="000B402D" w:rsidP="00C40101">
            <w:pPr>
              <w:shd w:val="clear" w:color="auto" w:fill="FFFFFF" w:themeFill="background1"/>
              <w:spacing w:before="60" w:after="6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>Waste management service delivery is improved in selected partner LGUs:</w:t>
            </w:r>
          </w:p>
          <w:p w:rsidR="000B402D" w:rsidRPr="004A6D8B" w:rsidRDefault="000B402D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>LGUs have more information about the principles and possibilities of waste management</w:t>
            </w:r>
          </w:p>
          <w:p w:rsidR="000B402D" w:rsidRPr="004A6D8B" w:rsidRDefault="000B402D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>LGUs implement concrete improvements in waste management service delivery</w:t>
            </w:r>
          </w:p>
          <w:p w:rsidR="000B402D" w:rsidRPr="004A6D8B" w:rsidRDefault="000B402D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 xml:space="preserve">LGUs consider new, innovative, more efficient and ecological options for waste management </w:t>
            </w:r>
          </w:p>
          <w:p w:rsidR="000B402D" w:rsidRPr="004A6D8B" w:rsidRDefault="000B402D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>LGUs are more responsible for implementing waste management services and proactive in seeking solutions</w:t>
            </w:r>
          </w:p>
          <w:p w:rsidR="000B402D" w:rsidRPr="004A6D8B" w:rsidRDefault="000B402D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 xml:space="preserve">Other LGUs (beyond dldp partner LGUs) become more aware of the issue of waste management and are inspired by the good practices of LGUs in </w:t>
            </w:r>
            <w:r w:rsidR="002C51A8" w:rsidRPr="004A6D8B">
              <w:rPr>
                <w:sz w:val="20"/>
                <w:szCs w:val="20"/>
              </w:rPr>
              <w:t>Shkodra</w:t>
            </w:r>
            <w:r w:rsidRPr="004A6D8B">
              <w:rPr>
                <w:sz w:val="20"/>
                <w:szCs w:val="20"/>
              </w:rPr>
              <w:t xml:space="preserve"> and Lezha to address the issue themselves</w:t>
            </w:r>
          </w:p>
        </w:tc>
      </w:tr>
      <w:tr w:rsidR="005D3694" w:rsidRPr="00AA3F44" w:rsidTr="00C40101">
        <w:tc>
          <w:tcPr>
            <w:tcW w:w="1668" w:type="dxa"/>
          </w:tcPr>
          <w:p w:rsidR="000B402D" w:rsidRPr="000A3F68" w:rsidRDefault="006E6205" w:rsidP="00C40101">
            <w:pPr>
              <w:shd w:val="clear" w:color="auto" w:fill="FFFFFF" w:themeFill="background1"/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Total c</w:t>
            </w:r>
            <w:r w:rsidR="000B402D" w:rsidRPr="000A3F68">
              <w:rPr>
                <w:i/>
                <w:sz w:val="20"/>
                <w:szCs w:val="20"/>
              </w:rPr>
              <w:t>ost of contribution:</w:t>
            </w:r>
          </w:p>
          <w:p w:rsidR="000B402D" w:rsidRPr="000A3F68" w:rsidRDefault="000B402D" w:rsidP="00C40101">
            <w:pPr>
              <w:shd w:val="clear" w:color="auto" w:fill="FFFFFF" w:themeFill="background1"/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0A3F68">
              <w:rPr>
                <w:b/>
                <w:i/>
                <w:sz w:val="20"/>
                <w:szCs w:val="20"/>
              </w:rPr>
              <w:t>628 500 Euro</w:t>
            </w:r>
          </w:p>
          <w:p w:rsidR="005D3694" w:rsidRPr="000A3F68" w:rsidRDefault="005D3694" w:rsidP="00C40101">
            <w:pPr>
              <w:shd w:val="clear" w:color="auto" w:fill="FFFFFF" w:themeFill="background1"/>
              <w:spacing w:before="60" w:after="60"/>
              <w:jc w:val="left"/>
              <w:rPr>
                <w:i/>
                <w:sz w:val="20"/>
                <w:szCs w:val="20"/>
              </w:rPr>
            </w:pPr>
          </w:p>
        </w:tc>
        <w:tc>
          <w:tcPr>
            <w:tcW w:w="4677" w:type="dxa"/>
          </w:tcPr>
          <w:p w:rsidR="005D3694" w:rsidRPr="000A3F68" w:rsidRDefault="002B72DB" w:rsidP="00C40101">
            <w:pPr>
              <w:shd w:val="clear" w:color="auto" w:fill="FFFFFF" w:themeFill="background1"/>
              <w:spacing w:before="60" w:after="6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 of contributions </w:t>
            </w:r>
            <w:r w:rsidR="005D3694" w:rsidRPr="000A3F68">
              <w:rPr>
                <w:i/>
                <w:sz w:val="20"/>
                <w:szCs w:val="20"/>
              </w:rPr>
              <w:t>to changes:</w:t>
            </w:r>
          </w:p>
          <w:p w:rsidR="005D3694" w:rsidRPr="000A3F68" w:rsidRDefault="002B72DB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Study visits</w:t>
            </w:r>
          </w:p>
          <w:p w:rsidR="005D3694" w:rsidRPr="000A3F68" w:rsidRDefault="005D3694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Inter-LGU experts group</w:t>
            </w:r>
          </w:p>
          <w:p w:rsidR="00E62BAE" w:rsidRPr="00E62BAE" w:rsidRDefault="005D3694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 xml:space="preserve">Waste management planning and implementation </w:t>
            </w:r>
            <w:r w:rsidR="00E62BAE">
              <w:rPr>
                <w:i/>
                <w:sz w:val="20"/>
                <w:szCs w:val="20"/>
              </w:rPr>
              <w:t>(</w:t>
            </w:r>
            <w:r w:rsidR="00E62BAE" w:rsidRPr="00E62BAE">
              <w:rPr>
                <w:i/>
                <w:sz w:val="20"/>
                <w:szCs w:val="20"/>
              </w:rPr>
              <w:t>Technical assistance and funding).</w:t>
            </w:r>
          </w:p>
          <w:p w:rsidR="005D3694" w:rsidRPr="000A3F68" w:rsidRDefault="005D3694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 xml:space="preserve">LGUs capacity building </w:t>
            </w:r>
            <w:r w:rsidR="006E6205" w:rsidRPr="000A3F68">
              <w:rPr>
                <w:i/>
                <w:sz w:val="20"/>
                <w:szCs w:val="20"/>
              </w:rPr>
              <w:t>increased in</w:t>
            </w:r>
            <w:r w:rsidRPr="000A3F68">
              <w:rPr>
                <w:i/>
                <w:sz w:val="20"/>
                <w:szCs w:val="20"/>
              </w:rPr>
              <w:t xml:space="preserve"> strategic planning, financial management, project cycle management and fund access.</w:t>
            </w:r>
          </w:p>
        </w:tc>
        <w:tc>
          <w:tcPr>
            <w:tcW w:w="2127" w:type="dxa"/>
          </w:tcPr>
          <w:p w:rsidR="005D3694" w:rsidRPr="000A3F68" w:rsidRDefault="005D3694" w:rsidP="00C40101">
            <w:pPr>
              <w:shd w:val="clear" w:color="auto" w:fill="FFFFFF" w:themeFill="background1"/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See</w:t>
            </w:r>
            <w:r w:rsidR="002B72DB">
              <w:rPr>
                <w:i/>
                <w:sz w:val="20"/>
                <w:szCs w:val="20"/>
              </w:rPr>
              <w:t xml:space="preserve"> report</w:t>
            </w:r>
            <w:r w:rsidR="008A3245">
              <w:rPr>
                <w:rStyle w:val="FootnoteReference"/>
                <w:i/>
                <w:sz w:val="20"/>
                <w:szCs w:val="20"/>
              </w:rPr>
              <w:footnoteReference w:id="1"/>
            </w:r>
            <w:r w:rsidRPr="000A3F68">
              <w:rPr>
                <w:i/>
                <w:sz w:val="20"/>
                <w:szCs w:val="20"/>
              </w:rPr>
              <w:t>: 3.3 and 3.4 and partially 3.6</w:t>
            </w:r>
          </w:p>
        </w:tc>
      </w:tr>
    </w:tbl>
    <w:p w:rsidR="006E6205" w:rsidRPr="006E6205" w:rsidRDefault="002B72DB" w:rsidP="00C40101">
      <w:pPr>
        <w:pStyle w:val="Heading2"/>
        <w:shd w:val="clear" w:color="auto" w:fill="FFFFFF" w:themeFill="background1"/>
        <w:spacing w:before="360"/>
        <w:ind w:left="426" w:hanging="431"/>
        <w:contextualSpacing/>
        <w:jc w:val="left"/>
      </w:pPr>
      <w:bookmarkStart w:id="4" w:name="_Toc209349671"/>
      <w:bookmarkStart w:id="5" w:name="_Toc209349880"/>
      <w:bookmarkStart w:id="6" w:name="_Toc209350056"/>
      <w:r>
        <w:t xml:space="preserve">Change 2: </w:t>
      </w:r>
      <w:r w:rsidR="005E67DF" w:rsidRPr="005E67DF">
        <w:t>Waste management policy-making is improved and informed by practical experience, good practices and guidance documents</w:t>
      </w:r>
      <w:bookmarkEnd w:id="4"/>
      <w:bookmarkEnd w:id="5"/>
      <w:bookmarkEnd w:id="6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677"/>
        <w:gridCol w:w="2127"/>
      </w:tblGrid>
      <w:tr w:rsidR="006E6205" w:rsidRPr="002B72DB" w:rsidTr="00C40101">
        <w:trPr>
          <w:trHeight w:val="467"/>
        </w:trPr>
        <w:tc>
          <w:tcPr>
            <w:tcW w:w="8472" w:type="dxa"/>
            <w:gridSpan w:val="3"/>
          </w:tcPr>
          <w:p w:rsidR="006E6205" w:rsidRPr="002B72DB" w:rsidRDefault="006E6205" w:rsidP="00C40101">
            <w:pPr>
              <w:spacing w:before="60" w:after="60"/>
              <w:jc w:val="left"/>
              <w:rPr>
                <w:b/>
                <w:sz w:val="20"/>
                <w:szCs w:val="20"/>
                <w:highlight w:val="green"/>
              </w:rPr>
            </w:pPr>
            <w:r w:rsidRPr="002B72DB">
              <w:rPr>
                <w:b/>
              </w:rPr>
              <w:t>Reported change</w:t>
            </w:r>
          </w:p>
        </w:tc>
      </w:tr>
      <w:tr w:rsidR="006E6205" w:rsidRPr="00AA3F44" w:rsidTr="00C40101">
        <w:tc>
          <w:tcPr>
            <w:tcW w:w="8472" w:type="dxa"/>
            <w:gridSpan w:val="3"/>
          </w:tcPr>
          <w:p w:rsidR="006E6205" w:rsidRPr="006E6205" w:rsidRDefault="006E6205" w:rsidP="00C4010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6E6205">
              <w:rPr>
                <w:sz w:val="20"/>
                <w:szCs w:val="20"/>
              </w:rPr>
              <w:t>Waste management policy-making is improved and informed by practical experience, good practices and guidance documents:</w:t>
            </w:r>
          </w:p>
          <w:p w:rsidR="00673C94" w:rsidRPr="00673C94" w:rsidRDefault="00673C94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673C94">
              <w:rPr>
                <w:sz w:val="20"/>
                <w:szCs w:val="20"/>
              </w:rPr>
              <w:t xml:space="preserve">Waste management policy-making is informed by concrete proposals for sustainable and affordable solutions to implement the national strategy at local and regional level </w:t>
            </w:r>
          </w:p>
          <w:p w:rsidR="00673C94" w:rsidRPr="00673C94" w:rsidRDefault="00673C94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673C94">
              <w:rPr>
                <w:sz w:val="20"/>
                <w:szCs w:val="20"/>
              </w:rPr>
              <w:t xml:space="preserve">Waste management policy-making is a participatory process in which LGU voices are heard </w:t>
            </w:r>
          </w:p>
          <w:p w:rsidR="006E6205" w:rsidRPr="00673C94" w:rsidRDefault="00673C94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673C94">
              <w:rPr>
                <w:sz w:val="20"/>
                <w:szCs w:val="20"/>
              </w:rPr>
              <w:t>Identified evidence based national waste management policy bottlenecks and challenges are addressed by the central government</w:t>
            </w:r>
          </w:p>
        </w:tc>
      </w:tr>
      <w:tr w:rsidR="006E6205" w:rsidRPr="00AA3F44" w:rsidTr="00C40101">
        <w:tc>
          <w:tcPr>
            <w:tcW w:w="1668" w:type="dxa"/>
          </w:tcPr>
          <w:p w:rsidR="006E6205" w:rsidRPr="000A3F68" w:rsidRDefault="006E6205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Total cost of contribution:</w:t>
            </w:r>
          </w:p>
          <w:p w:rsidR="006E6205" w:rsidRPr="000A3F68" w:rsidRDefault="00673C94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2164C9">
              <w:rPr>
                <w:b/>
                <w:i/>
                <w:sz w:val="20"/>
                <w:szCs w:val="20"/>
              </w:rPr>
              <w:lastRenderedPageBreak/>
              <w:t xml:space="preserve">241600 </w:t>
            </w:r>
            <w:r w:rsidRPr="000A3F68">
              <w:rPr>
                <w:i/>
                <w:sz w:val="20"/>
                <w:szCs w:val="20"/>
              </w:rPr>
              <w:t>Euro</w:t>
            </w:r>
          </w:p>
        </w:tc>
        <w:tc>
          <w:tcPr>
            <w:tcW w:w="4677" w:type="dxa"/>
          </w:tcPr>
          <w:p w:rsidR="006E6205" w:rsidRPr="000A3F68" w:rsidRDefault="006E6205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lastRenderedPageBreak/>
              <w:t>List of contributions  to changes: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Studies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lastRenderedPageBreak/>
              <w:t>Good practice documentation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Monitoring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Pr="000A3F68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Events</w:t>
            </w:r>
            <w:r w:rsidRPr="000A3F68">
              <w:rPr>
                <w:i/>
                <w:sz w:val="20"/>
                <w:szCs w:val="20"/>
              </w:rPr>
              <w:t xml:space="preserve"> (</w:t>
            </w:r>
            <w:r>
              <w:rPr>
                <w:i/>
                <w:sz w:val="20"/>
                <w:szCs w:val="20"/>
              </w:rPr>
              <w:t xml:space="preserve">national </w:t>
            </w:r>
            <w:r w:rsidRPr="000A3F68">
              <w:rPr>
                <w:i/>
                <w:sz w:val="20"/>
                <w:szCs w:val="20"/>
              </w:rPr>
              <w:t>conferences</w:t>
            </w:r>
            <w:r>
              <w:rPr>
                <w:i/>
                <w:sz w:val="20"/>
                <w:szCs w:val="20"/>
              </w:rPr>
              <w:t xml:space="preserve"> and fairs</w:t>
            </w:r>
            <w:r w:rsidRPr="000A3F68">
              <w:rPr>
                <w:i/>
                <w:sz w:val="20"/>
                <w:szCs w:val="20"/>
              </w:rPr>
              <w:t>)</w:t>
            </w:r>
          </w:p>
          <w:p w:rsidR="00E62BAE" w:rsidRP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Manual on “Planning Local Waste Management”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Training curricula on waste management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Inter-LGU expert group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6E6205" w:rsidRPr="000A3F68" w:rsidRDefault="00673C94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LGUs capacity building increased in strategic planning, financial management, project cycle management and fund access.</w:t>
            </w:r>
          </w:p>
        </w:tc>
        <w:tc>
          <w:tcPr>
            <w:tcW w:w="2127" w:type="dxa"/>
          </w:tcPr>
          <w:p w:rsidR="006E6205" w:rsidRPr="000A3F68" w:rsidRDefault="00673C94" w:rsidP="00C40101">
            <w:pPr>
              <w:spacing w:before="60" w:after="60"/>
              <w:jc w:val="left"/>
              <w:rPr>
                <w:i/>
                <w:sz w:val="20"/>
                <w:szCs w:val="20"/>
                <w:highlight w:val="green"/>
              </w:rPr>
            </w:pPr>
            <w:r w:rsidRPr="000A3F68">
              <w:rPr>
                <w:i/>
                <w:sz w:val="20"/>
                <w:szCs w:val="20"/>
              </w:rPr>
              <w:lastRenderedPageBreak/>
              <w:t>See</w:t>
            </w:r>
            <w:r w:rsidR="002B72DB">
              <w:rPr>
                <w:i/>
                <w:sz w:val="20"/>
                <w:szCs w:val="20"/>
              </w:rPr>
              <w:t xml:space="preserve"> report</w:t>
            </w:r>
            <w:r w:rsidRPr="000A3F68">
              <w:rPr>
                <w:i/>
                <w:sz w:val="20"/>
                <w:szCs w:val="20"/>
              </w:rPr>
              <w:t>: 3.1 and 3.2 and partially 3.3, 3.6</w:t>
            </w:r>
          </w:p>
        </w:tc>
      </w:tr>
    </w:tbl>
    <w:p w:rsidR="005E67DF" w:rsidRDefault="002B72DB" w:rsidP="00C40101">
      <w:pPr>
        <w:pStyle w:val="Heading2"/>
        <w:shd w:val="clear" w:color="auto" w:fill="FFFFFF" w:themeFill="background1"/>
        <w:spacing w:before="360"/>
        <w:ind w:left="426" w:hanging="431"/>
        <w:contextualSpacing/>
        <w:jc w:val="left"/>
      </w:pPr>
      <w:bookmarkStart w:id="7" w:name="_Toc209349672"/>
      <w:bookmarkStart w:id="8" w:name="_Toc209349881"/>
      <w:bookmarkStart w:id="9" w:name="_Toc209350057"/>
      <w:r>
        <w:lastRenderedPageBreak/>
        <w:t xml:space="preserve">Change 3: </w:t>
      </w:r>
      <w:r w:rsidR="005E67DF" w:rsidRPr="00336F50">
        <w:t>Waste sector partnership is extended at national, regional and local levels</w:t>
      </w:r>
      <w:bookmarkEnd w:id="7"/>
      <w:bookmarkEnd w:id="8"/>
      <w:bookmarkEnd w:id="9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8"/>
        <w:gridCol w:w="4677"/>
        <w:gridCol w:w="2127"/>
      </w:tblGrid>
      <w:tr w:rsidR="004A6D8B" w:rsidRPr="002B72DB" w:rsidTr="00C40101">
        <w:trPr>
          <w:trHeight w:val="467"/>
        </w:trPr>
        <w:tc>
          <w:tcPr>
            <w:tcW w:w="8472" w:type="dxa"/>
            <w:gridSpan w:val="3"/>
          </w:tcPr>
          <w:p w:rsidR="004A6D8B" w:rsidRPr="002B72DB" w:rsidRDefault="004A6D8B" w:rsidP="00C40101">
            <w:pPr>
              <w:spacing w:before="60" w:after="60"/>
              <w:jc w:val="left"/>
              <w:rPr>
                <w:b/>
                <w:sz w:val="20"/>
                <w:szCs w:val="20"/>
                <w:highlight w:val="green"/>
              </w:rPr>
            </w:pPr>
            <w:r w:rsidRPr="002B72DB">
              <w:rPr>
                <w:b/>
              </w:rPr>
              <w:t>Reported change</w:t>
            </w:r>
          </w:p>
        </w:tc>
      </w:tr>
      <w:tr w:rsidR="004A6D8B" w:rsidRPr="00AA3F44" w:rsidTr="00C40101">
        <w:tc>
          <w:tcPr>
            <w:tcW w:w="8472" w:type="dxa"/>
            <w:gridSpan w:val="3"/>
          </w:tcPr>
          <w:p w:rsidR="004A6D8B" w:rsidRPr="004A6D8B" w:rsidRDefault="004A6D8B" w:rsidP="00C40101">
            <w:pPr>
              <w:spacing w:before="60" w:after="60"/>
              <w:jc w:val="left"/>
              <w:rPr>
                <w:sz w:val="20"/>
                <w:szCs w:val="20"/>
              </w:rPr>
            </w:pPr>
            <w:r w:rsidRPr="004A6D8B">
              <w:rPr>
                <w:sz w:val="20"/>
                <w:szCs w:val="20"/>
              </w:rPr>
              <w:t>Waste sector partnership is extended at national, regional and local levels:</w:t>
            </w:r>
          </w:p>
          <w:p w:rsidR="004A6D8B" w:rsidRPr="00F4394F" w:rsidRDefault="004A6D8B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F4394F">
              <w:rPr>
                <w:sz w:val="20"/>
                <w:szCs w:val="20"/>
              </w:rPr>
              <w:t xml:space="preserve">Promoting an </w:t>
            </w:r>
            <w:proofErr w:type="spellStart"/>
            <w:r w:rsidRPr="00F4394F">
              <w:rPr>
                <w:sz w:val="20"/>
                <w:szCs w:val="20"/>
              </w:rPr>
              <w:t>intersectorial</w:t>
            </w:r>
            <w:proofErr w:type="spellEnd"/>
            <w:r w:rsidRPr="00F4394F">
              <w:rPr>
                <w:sz w:val="20"/>
                <w:szCs w:val="20"/>
              </w:rPr>
              <w:t xml:space="preserve"> approach/contribution (environment, transport, governance, economic development etc.) of waste managem</w:t>
            </w:r>
            <w:r w:rsidR="00F05E0C">
              <w:rPr>
                <w:sz w:val="20"/>
                <w:szCs w:val="20"/>
              </w:rPr>
              <w:t xml:space="preserve">ent under the </w:t>
            </w:r>
            <w:proofErr w:type="spellStart"/>
            <w:r w:rsidR="00F05E0C">
              <w:rPr>
                <w:sz w:val="20"/>
                <w:szCs w:val="20"/>
              </w:rPr>
              <w:t>MoI</w:t>
            </w:r>
            <w:proofErr w:type="spellEnd"/>
            <w:r w:rsidR="00F05E0C">
              <w:rPr>
                <w:sz w:val="20"/>
                <w:szCs w:val="20"/>
              </w:rPr>
              <w:t xml:space="preserve"> coordination a</w:t>
            </w:r>
            <w:r w:rsidRPr="00F4394F">
              <w:rPr>
                <w:sz w:val="20"/>
                <w:szCs w:val="20"/>
              </w:rPr>
              <w:t>t the national level, establishing a new partnership with the Ministry of the Environment</w:t>
            </w:r>
          </w:p>
          <w:p w:rsidR="004A6D8B" w:rsidRPr="00F4394F" w:rsidRDefault="004A6D8B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F4394F">
              <w:rPr>
                <w:sz w:val="20"/>
                <w:szCs w:val="20"/>
              </w:rPr>
              <w:t>Advocating and lobbing to defend local interests in designing national policies (Engaging in the AAM/AAC information campaign about the new National Waste Management Strategy and Plan)</w:t>
            </w:r>
          </w:p>
          <w:p w:rsidR="004A6D8B" w:rsidRPr="00F4394F" w:rsidRDefault="004A6D8B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F4394F">
              <w:rPr>
                <w:sz w:val="20"/>
                <w:szCs w:val="20"/>
              </w:rPr>
              <w:t>At the local level, generating an atmosphere of trust between LGUs conducive to engaging in mutually beneficial inter-LGU waste management initiatives</w:t>
            </w:r>
          </w:p>
          <w:p w:rsidR="004A6D8B" w:rsidRPr="00F4394F" w:rsidRDefault="004A6D8B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F4394F">
              <w:rPr>
                <w:sz w:val="20"/>
                <w:szCs w:val="20"/>
              </w:rPr>
              <w:t>Providing incentives to LGUs to engage in partnership to tackle waste management issues</w:t>
            </w:r>
          </w:p>
          <w:p w:rsidR="004A6D8B" w:rsidRDefault="004A6D8B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F4394F">
              <w:rPr>
                <w:sz w:val="20"/>
                <w:szCs w:val="20"/>
              </w:rPr>
              <w:t>The partnerships that dldp and partners have facilitated have pushed LGUs and other actors to be proactive and committed to seeking change</w:t>
            </w:r>
          </w:p>
          <w:p w:rsidR="00D849AF" w:rsidRPr="00F4394F" w:rsidRDefault="00D849AF" w:rsidP="00D849AF">
            <w:pPr>
              <w:pStyle w:val="ListParagraph"/>
              <w:numPr>
                <w:ilvl w:val="0"/>
                <w:numId w:val="8"/>
              </w:numPr>
              <w:spacing w:before="60" w:after="60"/>
              <w:ind w:left="426" w:hanging="284"/>
              <w:contextualSpacing w:val="0"/>
              <w:jc w:val="left"/>
              <w:rPr>
                <w:sz w:val="20"/>
                <w:szCs w:val="20"/>
              </w:rPr>
            </w:pPr>
            <w:r w:rsidRPr="00D849AF">
              <w:rPr>
                <w:sz w:val="20"/>
                <w:szCs w:val="20"/>
              </w:rPr>
              <w:t>Albanian experiences have become a regional reference for neighbouring countries facing similar challenges</w:t>
            </w:r>
          </w:p>
        </w:tc>
      </w:tr>
      <w:tr w:rsidR="004A6D8B" w:rsidRPr="00AA3F44" w:rsidTr="00C40101">
        <w:tc>
          <w:tcPr>
            <w:tcW w:w="1668" w:type="dxa"/>
          </w:tcPr>
          <w:p w:rsidR="004A6D8B" w:rsidRPr="000A3F68" w:rsidRDefault="004A6D8B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Total cost of contribution:</w:t>
            </w:r>
          </w:p>
          <w:p w:rsidR="004A6D8B" w:rsidRPr="002164C9" w:rsidRDefault="00F4394F" w:rsidP="00C40101">
            <w:pPr>
              <w:spacing w:before="60" w:after="60"/>
              <w:jc w:val="left"/>
              <w:rPr>
                <w:b/>
                <w:i/>
                <w:sz w:val="20"/>
                <w:szCs w:val="20"/>
              </w:rPr>
            </w:pPr>
            <w:r w:rsidRPr="002164C9">
              <w:rPr>
                <w:b/>
                <w:i/>
                <w:sz w:val="20"/>
                <w:szCs w:val="20"/>
              </w:rPr>
              <w:t>84000 EU</w:t>
            </w:r>
          </w:p>
        </w:tc>
        <w:tc>
          <w:tcPr>
            <w:tcW w:w="4677" w:type="dxa"/>
          </w:tcPr>
          <w:p w:rsidR="004A6D8B" w:rsidRPr="000A3F68" w:rsidRDefault="004A6D8B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List of contributions  to changes: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Support to elaborating and implementing the National Strategy on Waste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Complementary support in several LGUs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Learning from others’ good practice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National level experience sharing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Regional level experience sharing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E62BAE" w:rsidRDefault="00E62BAE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E62BAE">
              <w:rPr>
                <w:i/>
                <w:sz w:val="20"/>
                <w:szCs w:val="20"/>
              </w:rPr>
              <w:t>Participation and presentation at fairs and conference</w:t>
            </w:r>
            <w:r w:rsidRPr="000A3F68">
              <w:rPr>
                <w:i/>
                <w:sz w:val="20"/>
                <w:szCs w:val="20"/>
              </w:rPr>
              <w:t xml:space="preserve"> </w:t>
            </w:r>
          </w:p>
          <w:p w:rsidR="004A6D8B" w:rsidRPr="002B72DB" w:rsidRDefault="00F4394F" w:rsidP="009F11CF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before="60" w:after="60"/>
              <w:ind w:left="459" w:hanging="284"/>
              <w:contextualSpacing w:val="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 xml:space="preserve">LGUs capacity building </w:t>
            </w:r>
            <w:r w:rsidR="002164C9" w:rsidRPr="000A3F68">
              <w:rPr>
                <w:i/>
                <w:sz w:val="20"/>
                <w:szCs w:val="20"/>
              </w:rPr>
              <w:t>increased in</w:t>
            </w:r>
            <w:r w:rsidRPr="000A3F68">
              <w:rPr>
                <w:i/>
                <w:sz w:val="20"/>
                <w:szCs w:val="20"/>
              </w:rPr>
              <w:t xml:space="preserve"> strategic planning, financial management, project cycle management and fund access</w:t>
            </w:r>
          </w:p>
        </w:tc>
        <w:tc>
          <w:tcPr>
            <w:tcW w:w="2127" w:type="dxa"/>
          </w:tcPr>
          <w:p w:rsidR="004A6D8B" w:rsidRPr="004D44F1" w:rsidRDefault="00F4394F" w:rsidP="00C40101">
            <w:pPr>
              <w:spacing w:before="60" w:after="60"/>
              <w:jc w:val="left"/>
              <w:rPr>
                <w:i/>
                <w:sz w:val="20"/>
                <w:szCs w:val="20"/>
              </w:rPr>
            </w:pPr>
            <w:r w:rsidRPr="000A3F68">
              <w:rPr>
                <w:i/>
                <w:sz w:val="20"/>
                <w:szCs w:val="20"/>
              </w:rPr>
              <w:t>See</w:t>
            </w:r>
            <w:r w:rsidR="002B72DB">
              <w:rPr>
                <w:i/>
                <w:sz w:val="20"/>
                <w:szCs w:val="20"/>
              </w:rPr>
              <w:t xml:space="preserve"> report</w:t>
            </w:r>
            <w:r w:rsidRPr="000A3F68">
              <w:rPr>
                <w:i/>
                <w:sz w:val="20"/>
                <w:szCs w:val="20"/>
              </w:rPr>
              <w:t>: 3.5 and 3.6</w:t>
            </w:r>
            <w:r w:rsidR="002B72DB">
              <w:rPr>
                <w:i/>
                <w:sz w:val="20"/>
                <w:szCs w:val="20"/>
              </w:rPr>
              <w:t xml:space="preserve"> </w:t>
            </w:r>
            <w:r w:rsidRPr="000A3F68">
              <w:rPr>
                <w:i/>
                <w:sz w:val="20"/>
                <w:szCs w:val="20"/>
              </w:rPr>
              <w:t>and partially 3.4 and 3.3</w:t>
            </w:r>
          </w:p>
        </w:tc>
      </w:tr>
    </w:tbl>
    <w:p w:rsidR="004A6D8B" w:rsidRPr="002B72DB" w:rsidRDefault="002B72DB" w:rsidP="00DE3670">
      <w:pPr>
        <w:jc w:val="right"/>
        <w:rPr>
          <w:sz w:val="18"/>
          <w:szCs w:val="18"/>
        </w:rPr>
      </w:pPr>
      <w:r w:rsidRPr="002B72DB">
        <w:rPr>
          <w:sz w:val="18"/>
          <w:szCs w:val="18"/>
        </w:rPr>
        <w:t>Helvetas Swiss Intercooperation / dldp, September 2012</w:t>
      </w:r>
    </w:p>
    <w:sectPr w:rsidR="004A6D8B" w:rsidRPr="002B72DB" w:rsidSect="00E76106">
      <w:pgSz w:w="11900" w:h="16840"/>
      <w:pgMar w:top="993" w:right="1800" w:bottom="1440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82F" w:rsidRDefault="004E282F" w:rsidP="008A3245">
      <w:pPr>
        <w:spacing w:before="0" w:after="0"/>
      </w:pPr>
      <w:r>
        <w:separator/>
      </w:r>
    </w:p>
  </w:endnote>
  <w:endnote w:type="continuationSeparator" w:id="0">
    <w:p w:rsidR="004E282F" w:rsidRDefault="004E282F" w:rsidP="008A32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82F" w:rsidRDefault="004E282F" w:rsidP="008A3245">
      <w:pPr>
        <w:spacing w:before="0" w:after="0"/>
      </w:pPr>
      <w:r>
        <w:separator/>
      </w:r>
    </w:p>
  </w:footnote>
  <w:footnote w:type="continuationSeparator" w:id="0">
    <w:p w:rsidR="004E282F" w:rsidRDefault="004E282F" w:rsidP="008A3245">
      <w:pPr>
        <w:spacing w:before="0" w:after="0"/>
      </w:pPr>
      <w:r>
        <w:continuationSeparator/>
      </w:r>
    </w:p>
  </w:footnote>
  <w:footnote w:id="1">
    <w:p w:rsidR="008A3245" w:rsidRPr="008A3245" w:rsidRDefault="008A324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Helvetas Swiss Intercooperation / dldp: “Su</w:t>
      </w:r>
      <w:r w:rsidRPr="002C51A8">
        <w:t>pporting Improved LGU Waste Management Services: A Report on the Outcomes of dldp and Partners’ Contributions</w:t>
      </w:r>
      <w:r>
        <w:t>”, September 2012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C3C6F"/>
    <w:multiLevelType w:val="hybridMultilevel"/>
    <w:tmpl w:val="161C7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E7A5D"/>
    <w:multiLevelType w:val="multilevel"/>
    <w:tmpl w:val="7EE0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B4A67FC"/>
    <w:multiLevelType w:val="multilevel"/>
    <w:tmpl w:val="7EE0C1FA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509115F6"/>
    <w:multiLevelType w:val="multilevel"/>
    <w:tmpl w:val="7EE0C1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55F5541C"/>
    <w:multiLevelType w:val="hybridMultilevel"/>
    <w:tmpl w:val="20D8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Verdana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Courier New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Verdana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Courier New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Verdana" w:hint="default"/>
      </w:rPr>
    </w:lvl>
  </w:abstractNum>
  <w:abstractNum w:abstractNumId="5">
    <w:nsid w:val="727E2208"/>
    <w:multiLevelType w:val="hybridMultilevel"/>
    <w:tmpl w:val="7BAE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05CE"/>
    <w:rsid w:val="000A3F68"/>
    <w:rsid w:val="000B402D"/>
    <w:rsid w:val="000E5CFD"/>
    <w:rsid w:val="000F06B7"/>
    <w:rsid w:val="00105B57"/>
    <w:rsid w:val="00163468"/>
    <w:rsid w:val="002164C9"/>
    <w:rsid w:val="00227CEC"/>
    <w:rsid w:val="002B72DB"/>
    <w:rsid w:val="002C51A8"/>
    <w:rsid w:val="00357C0B"/>
    <w:rsid w:val="003E4134"/>
    <w:rsid w:val="00406D9B"/>
    <w:rsid w:val="004A6D8B"/>
    <w:rsid w:val="004D44F1"/>
    <w:rsid w:val="004E282F"/>
    <w:rsid w:val="005D3694"/>
    <w:rsid w:val="005E67DF"/>
    <w:rsid w:val="006723C0"/>
    <w:rsid w:val="00673C94"/>
    <w:rsid w:val="006E6205"/>
    <w:rsid w:val="007A05CE"/>
    <w:rsid w:val="007C4933"/>
    <w:rsid w:val="007F4BAE"/>
    <w:rsid w:val="008765CC"/>
    <w:rsid w:val="008A3245"/>
    <w:rsid w:val="009F11CF"/>
    <w:rsid w:val="00B064FE"/>
    <w:rsid w:val="00C27657"/>
    <w:rsid w:val="00C40101"/>
    <w:rsid w:val="00CB1A34"/>
    <w:rsid w:val="00D57056"/>
    <w:rsid w:val="00D849AF"/>
    <w:rsid w:val="00DE3670"/>
    <w:rsid w:val="00E039AE"/>
    <w:rsid w:val="00E04523"/>
    <w:rsid w:val="00E62BAE"/>
    <w:rsid w:val="00E76106"/>
    <w:rsid w:val="00F05E0C"/>
    <w:rsid w:val="00F4394F"/>
    <w:rsid w:val="00FC60A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8B"/>
    <w:pPr>
      <w:spacing w:before="120" w:after="120"/>
      <w:jc w:val="both"/>
    </w:pPr>
    <w:rPr>
      <w:rFonts w:ascii="Calibri" w:eastAsia="Cambria" w:hAnsi="Calibri" w:cs="Calibri"/>
      <w:sz w:val="21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7DF"/>
    <w:pPr>
      <w:keepNext/>
      <w:keepLines/>
      <w:numPr>
        <w:numId w:val="2"/>
      </w:numPr>
      <w:spacing w:before="480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7DF"/>
    <w:pPr>
      <w:numPr>
        <w:ilvl w:val="1"/>
        <w:numId w:val="2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E67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E67DF"/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7DF"/>
    <w:rPr>
      <w:rFonts w:ascii="Cambria" w:eastAsia="Cambria" w:hAnsi="Cambria" w:cs="Cambri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DF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DF"/>
    <w:rPr>
      <w:rFonts w:ascii="Lucida Grande" w:eastAsia="Cambria" w:hAnsi="Lucida Grande" w:cs="Calibr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5E67DF"/>
    <w:rPr>
      <w:rFonts w:ascii="Calibri" w:eastAsia="Times New Roman" w:hAnsi="Calibri" w:cs="Calibri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E67DF"/>
    <w:rPr>
      <w:rFonts w:ascii="Calibri" w:eastAsia="Cambria" w:hAnsi="Calibri" w:cs="Calibri"/>
      <w:b/>
      <w:bCs/>
      <w:i/>
      <w:iCs/>
      <w:sz w:val="21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23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23"/>
    <w:rPr>
      <w:rFonts w:ascii="Calibri" w:eastAsia="Cambria" w:hAnsi="Calibri" w:cs="Calibri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620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A3245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A3245"/>
    <w:rPr>
      <w:rFonts w:ascii="Calibri" w:eastAsia="Cambria" w:hAnsi="Calibri" w:cs="Calibri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8A324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D8B"/>
    <w:pPr>
      <w:spacing w:before="120" w:after="120"/>
      <w:jc w:val="both"/>
    </w:pPr>
    <w:rPr>
      <w:rFonts w:ascii="Calibri" w:eastAsia="Cambria" w:hAnsi="Calibri" w:cs="Calibri"/>
      <w:sz w:val="21"/>
      <w:szCs w:val="22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67DF"/>
    <w:pPr>
      <w:keepNext/>
      <w:keepLines/>
      <w:numPr>
        <w:numId w:val="2"/>
      </w:numPr>
      <w:spacing w:before="480"/>
      <w:outlineLvl w:val="0"/>
    </w:pPr>
    <w:rPr>
      <w:rFonts w:eastAsia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67DF"/>
    <w:pPr>
      <w:numPr>
        <w:ilvl w:val="1"/>
        <w:numId w:val="2"/>
      </w:numPr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sid w:val="005E67DF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5E67DF"/>
    <w:rPr>
      <w:rFonts w:ascii="Cambria" w:hAnsi="Cambria" w:cs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67DF"/>
    <w:rPr>
      <w:rFonts w:ascii="Cambria" w:eastAsia="Cambria" w:hAnsi="Cambria" w:cs="Cambria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67DF"/>
    <w:pPr>
      <w:spacing w:before="0" w:after="0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67DF"/>
    <w:rPr>
      <w:rFonts w:ascii="Lucida Grande" w:eastAsia="Cambria" w:hAnsi="Lucida Grande" w:cs="Calibri"/>
      <w:sz w:val="18"/>
      <w:szCs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rsid w:val="005E67DF"/>
    <w:rPr>
      <w:rFonts w:ascii="Calibri" w:eastAsia="Times New Roman" w:hAnsi="Calibri" w:cs="Calibri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5E67DF"/>
    <w:rPr>
      <w:rFonts w:ascii="Calibri" w:eastAsia="Cambria" w:hAnsi="Calibri" w:cs="Calibri"/>
      <w:b/>
      <w:bCs/>
      <w:i/>
      <w:iCs/>
      <w:sz w:val="21"/>
      <w:szCs w:val="22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4523"/>
    <w:rPr>
      <w:rFonts w:ascii="Calibri" w:hAnsi="Calibri" w:cs="Calibr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4523"/>
    <w:rPr>
      <w:rFonts w:ascii="Calibri" w:eastAsia="Cambria" w:hAnsi="Calibri" w:cs="Calibri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6E62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EAF91-D00A-4245-BFED-79B78746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654</Words>
  <Characters>3731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HELVETAS Swiss Intercooperation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Byrne</dc:creator>
  <cp:lastModifiedBy>Valbona Karakaçi</cp:lastModifiedBy>
  <cp:revision>2</cp:revision>
  <dcterms:created xsi:type="dcterms:W3CDTF">2012-09-18T14:33:00Z</dcterms:created>
  <dcterms:modified xsi:type="dcterms:W3CDTF">2012-09-18T14:33:00Z</dcterms:modified>
</cp:coreProperties>
</file>